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E828" w14:textId="64D2C410" w:rsidR="00F3512D" w:rsidRDefault="00F3512D" w:rsidP="00232672">
      <w:pPr>
        <w:spacing w:line="276" w:lineRule="auto"/>
        <w:rPr>
          <w:lang w:val="es-419"/>
        </w:rPr>
      </w:pPr>
    </w:p>
    <w:p w14:paraId="35A0C3AA" w14:textId="77777777" w:rsidR="00640894" w:rsidRDefault="00640894" w:rsidP="00232672">
      <w:pPr>
        <w:spacing w:line="276" w:lineRule="auto"/>
        <w:rPr>
          <w:lang w:val="es-419"/>
        </w:rPr>
      </w:pPr>
    </w:p>
    <w:p w14:paraId="70920140" w14:textId="7DE05782" w:rsidR="00640894" w:rsidRDefault="00640894" w:rsidP="002326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640894">
        <w:rPr>
          <w:rFonts w:ascii="Times New Roman" w:hAnsi="Times New Roman" w:cs="Times New Roman"/>
          <w:b/>
          <w:bCs/>
          <w:sz w:val="24"/>
          <w:szCs w:val="24"/>
          <w:lang w:val="es-419"/>
        </w:rPr>
        <w:t>PROGRAMA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2E24ACAA" w14:textId="5F0A44EB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05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DIPLOMATURA SUPERIOR EN KINESIOLOGÍA DEPORTIVA Y REHABILITACIÓN INTERDISCIPLINARIA</w:t>
      </w:r>
    </w:p>
    <w:p w14:paraId="50235763" w14:textId="7A9B2649" w:rsidR="00AD1C67" w:rsidRDefault="008E04B5" w:rsidP="00AD1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805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RS. CS.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464/2025</w:t>
      </w:r>
    </w:p>
    <w:p w14:paraId="7463EB89" w14:textId="77777777" w:rsidR="00640894" w:rsidRPr="00A470FB" w:rsidRDefault="00640894" w:rsidP="00232672">
      <w:pPr>
        <w:pStyle w:val="NormalWeb"/>
        <w:shd w:val="clear" w:color="auto" w:fill="FFFFFF"/>
        <w:spacing w:before="0" w:beforeAutospacing="0" w:after="360" w:afterAutospacing="0" w:line="276" w:lineRule="auto"/>
        <w:jc w:val="center"/>
        <w:textAlignment w:val="baseline"/>
        <w:rPr>
          <w:b/>
          <w:lang w:val="es-AR"/>
        </w:rPr>
      </w:pPr>
    </w:p>
    <w:p w14:paraId="123F81A6" w14:textId="66E2FC89" w:rsidR="00AD1C67" w:rsidRDefault="006C7DFF" w:rsidP="002326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TÍTULO </w:t>
      </w:r>
      <w:r w:rsidR="00425E3E">
        <w:rPr>
          <w:rFonts w:ascii="Times New Roman" w:hAnsi="Times New Roman" w:cs="Times New Roman"/>
          <w:b/>
          <w:bCs/>
          <w:sz w:val="24"/>
          <w:szCs w:val="24"/>
          <w:lang w:val="es-419"/>
        </w:rPr>
        <w:t>QUE OTORGA</w:t>
      </w:r>
    </w:p>
    <w:p w14:paraId="00607E79" w14:textId="77777777" w:rsidR="00AD1C67" w:rsidRDefault="00AD1C67" w:rsidP="002326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14:paraId="1F89054B" w14:textId="0ED0211E" w:rsidR="00AD1C67" w:rsidRPr="00AD1C67" w:rsidRDefault="00AD1C67" w:rsidP="00AD1C67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1C67">
        <w:rPr>
          <w:rFonts w:ascii="Times New Roman" w:eastAsia="Times New Roman" w:hAnsi="Times New Roman" w:cs="Times New Roman"/>
          <w:color w:val="000000"/>
          <w:sz w:val="24"/>
          <w:szCs w:val="24"/>
          <w:lang w:val="es-419"/>
        </w:rPr>
        <w:t>D</w:t>
      </w:r>
      <w:proofErr w:type="spellStart"/>
      <w:r w:rsidRPr="00AD1C67">
        <w:rPr>
          <w:rFonts w:ascii="Times New Roman" w:eastAsia="Times New Roman" w:hAnsi="Times New Roman" w:cs="Times New Roman"/>
          <w:color w:val="000000"/>
          <w:sz w:val="24"/>
          <w:szCs w:val="24"/>
        </w:rPr>
        <w:t>iplomado</w:t>
      </w:r>
      <w:proofErr w:type="spellEnd"/>
      <w:r w:rsidRPr="00A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Superior </w:t>
      </w:r>
      <w:r w:rsidRPr="00AD1C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en kinesiología deportiva y rehabilitación interdisciplinaria</w:t>
      </w:r>
    </w:p>
    <w:p w14:paraId="106AA906" w14:textId="77777777" w:rsidR="00AD1C67" w:rsidRPr="00AD1C67" w:rsidRDefault="00AD1C67" w:rsidP="002326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B2E59" w14:textId="10E08568" w:rsidR="00640894" w:rsidRDefault="00425E3E" w:rsidP="0023267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14:paraId="0278E361" w14:textId="5860926F" w:rsidR="00640894" w:rsidRDefault="00425E3E" w:rsidP="002326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JUSTIFICACIÓN DE LA PROPUESTA</w:t>
      </w:r>
    </w:p>
    <w:p w14:paraId="5913E5FA" w14:textId="77777777" w:rsidR="00AD1C67" w:rsidRDefault="00AD1C67" w:rsidP="00AD1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A9404" w14:textId="77777777" w:rsidR="00AD1C67" w:rsidRPr="00725ABB" w:rsidRDefault="00AD1C67" w:rsidP="00AD1C6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ABB">
        <w:rPr>
          <w:rFonts w:ascii="Times New Roman" w:eastAsia="Times New Roman" w:hAnsi="Times New Roman" w:cs="Times New Roman"/>
          <w:sz w:val="24"/>
          <w:szCs w:val="24"/>
        </w:rPr>
        <w:t xml:space="preserve">A través de su vasta experiencia en deportes y escuela, el Instituto Universitario </w:t>
      </w:r>
      <w:proofErr w:type="spellStart"/>
      <w:r w:rsidRPr="00725ABB">
        <w:rPr>
          <w:rFonts w:ascii="Times New Roman" w:eastAsia="Times New Roman" w:hAnsi="Times New Roman" w:cs="Times New Roman"/>
          <w:sz w:val="24"/>
          <w:szCs w:val="24"/>
        </w:rPr>
        <w:t>River</w:t>
      </w:r>
      <w:proofErr w:type="spellEnd"/>
      <w:r w:rsidRPr="00725A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5ABB">
        <w:rPr>
          <w:rFonts w:ascii="Times New Roman" w:eastAsia="Times New Roman" w:hAnsi="Times New Roman" w:cs="Times New Roman"/>
          <w:sz w:val="24"/>
          <w:szCs w:val="24"/>
        </w:rPr>
        <w:t>Plate</w:t>
      </w:r>
      <w:proofErr w:type="spellEnd"/>
      <w:r w:rsidRPr="00725ABB">
        <w:rPr>
          <w:rFonts w:ascii="Times New Roman" w:eastAsia="Times New Roman" w:hAnsi="Times New Roman" w:cs="Times New Roman"/>
          <w:sz w:val="24"/>
          <w:szCs w:val="24"/>
        </w:rPr>
        <w:t xml:space="preserve"> abre esta diplomatura para aquellos que quieran profundizar, conocer, aprender o reafirmar los conocimientos en rehabilitación integral del deportista, teniendo una visión global e interdisciplinaria del cuidado del deportista.</w:t>
      </w:r>
    </w:p>
    <w:p w14:paraId="72BD426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lo largo de los años se ha evaluado, cuidado y prevenido a los deportistas para que su cuerpo pueda seguir manteniendo el ritmo de la </w:t>
      </w:r>
      <w:r>
        <w:rPr>
          <w:rFonts w:ascii="Times New Roman" w:eastAsia="Times New Roman" w:hAnsi="Times New Roman" w:cs="Times New Roman"/>
          <w:sz w:val="24"/>
          <w:szCs w:val="24"/>
        </w:rPr>
        <w:t>élite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deporte, en nuestros encuentros hablaremos de los tratamientos de prevención, entrenamientos adaptados, lesiones, como tratarlas en equipos interdisciplinarios del mundo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un cuidado global del deportista hasta su reincorporación al deporte. </w:t>
      </w:r>
    </w:p>
    <w:p w14:paraId="61A876DA" w14:textId="77777777" w:rsidR="00AD1C67" w:rsidRPr="00725ABB" w:rsidRDefault="00AD1C67" w:rsidP="00AD1C67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ABB">
        <w:rPr>
          <w:rFonts w:ascii="Times New Roman" w:eastAsia="Times New Roman" w:hAnsi="Times New Roman" w:cs="Times New Roman"/>
          <w:bCs/>
          <w:sz w:val="24"/>
          <w:szCs w:val="24"/>
        </w:rPr>
        <w:t>Acompañados de nuestros instructores e invitados especialistas en diferentes áreas recorreremos las etapas de una rehabilitación global.</w:t>
      </w:r>
    </w:p>
    <w:p w14:paraId="7FD77379" w14:textId="77777777" w:rsidR="002B4055" w:rsidRDefault="002B4055" w:rsidP="002326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C63A9" w14:textId="18BCB349" w:rsidR="002B4055" w:rsidRDefault="002B4055" w:rsidP="0023267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PROPÓSITO</w:t>
      </w:r>
    </w:p>
    <w:p w14:paraId="2ED5795C" w14:textId="234C45B7" w:rsidR="004D0935" w:rsidRDefault="004D0935" w:rsidP="00232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229DA11" w14:textId="75A61158" w:rsidR="00AD1C67" w:rsidRPr="00AD1C67" w:rsidRDefault="00AD1C67" w:rsidP="00AD1C67">
      <w:pPr>
        <w:pStyle w:val="Prrafode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D1C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rindar las herramientas necesarias para reforzar, recordar, afianzar los conocimientos de los diferentes tipos de rehabilitación llevado a cabo en el mundo profesional deportivo. </w:t>
      </w:r>
    </w:p>
    <w:p w14:paraId="781D7D8C" w14:textId="77777777" w:rsidR="004D0935" w:rsidRPr="00AD1C67" w:rsidRDefault="004D0935" w:rsidP="00AD1C67">
      <w:pPr>
        <w:pStyle w:val="Prrafodelista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5958C8B6" w14:textId="59945BA1" w:rsidR="004D0935" w:rsidRPr="004D0935" w:rsidRDefault="004D0935" w:rsidP="00232672">
      <w:pPr>
        <w:pStyle w:val="Prrafodelista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9D82011" w14:textId="1CD1D1BA" w:rsidR="004D0935" w:rsidRPr="004D0935" w:rsidRDefault="00425E3E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D0935">
        <w:rPr>
          <w:rFonts w:ascii="Times New Roman" w:hAnsi="Times New Roman" w:cs="Times New Roman"/>
          <w:b/>
          <w:bCs/>
          <w:sz w:val="24"/>
        </w:rPr>
        <w:lastRenderedPageBreak/>
        <w:t>DESTINATARIOS</w:t>
      </w:r>
    </w:p>
    <w:p w14:paraId="46112DE5" w14:textId="77777777" w:rsidR="00AD1C67" w:rsidRDefault="00AD1C67" w:rsidP="00AD1C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65B9F" w14:textId="00332B4F" w:rsidR="00AD1C67" w:rsidRDefault="00AD1C67" w:rsidP="00AD1C6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propuesta de la Diplomatura está destinada:</w:t>
      </w:r>
    </w:p>
    <w:p w14:paraId="6F75C3DE" w14:textId="77777777" w:rsidR="00AD1C67" w:rsidRDefault="00AD1C67" w:rsidP="00AD1C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Kinesiólogos y fisioterapeutas con título habilitante.</w:t>
      </w:r>
    </w:p>
    <w:p w14:paraId="13E80513" w14:textId="77777777" w:rsidR="00AD1C67" w:rsidRDefault="00AD1C67" w:rsidP="00AD1C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Estudiantes avanzados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carrera de kinesiología. (presentar constancia de alumno regular 4° y 5° o su validación de materias.</w:t>
      </w:r>
    </w:p>
    <w:p w14:paraId="44CD63DC" w14:textId="123DED21" w:rsidR="00232672" w:rsidRPr="00AD1C67" w:rsidRDefault="00AD1C67" w:rsidP="00AD1C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Tecnicaturas intermedias avaladas </w:t>
      </w:r>
      <w:r>
        <w:rPr>
          <w:rFonts w:ascii="Times New Roman" w:eastAsia="Times New Roman" w:hAnsi="Times New Roman" w:cs="Times New Roman"/>
          <w:sz w:val="24"/>
          <w:szCs w:val="24"/>
        </w:rPr>
        <w:t>por el ministerio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salud.</w:t>
      </w:r>
    </w:p>
    <w:p w14:paraId="4DC6E026" w14:textId="77777777" w:rsidR="00232672" w:rsidRDefault="00232672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39C4E29" w14:textId="167CD367" w:rsidR="004D0935" w:rsidRPr="004D0935" w:rsidRDefault="00425E3E" w:rsidP="0023267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4D0935">
        <w:rPr>
          <w:rFonts w:ascii="Times New Roman" w:hAnsi="Times New Roman" w:cs="Times New Roman"/>
          <w:b/>
          <w:bCs/>
          <w:sz w:val="24"/>
        </w:rPr>
        <w:t>CONTENIDOS</w:t>
      </w:r>
    </w:p>
    <w:p w14:paraId="22BF5F93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I </w:t>
      </w:r>
    </w:p>
    <w:p w14:paraId="22C259C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FA024E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Bienvenida al mundo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explicación de objetivos de la diplomatura, presentación de equipo. </w:t>
      </w:r>
      <w:r>
        <w:rPr>
          <w:rFonts w:ascii="Times New Roman" w:eastAsia="Times New Roman" w:hAnsi="Times New Roman" w:cs="Times New Roman"/>
          <w:sz w:val="24"/>
          <w:szCs w:val="24"/>
        </w:rPr>
        <w:t>Se desarrollarán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los objetivos a trabajar y explicación de los módulos tanto sincrónicos como asincrónicos. </w:t>
      </w:r>
    </w:p>
    <w:p w14:paraId="56371EDC" w14:textId="77777777" w:rsidR="00AD1C67" w:rsidRPr="00725ABB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Charla abierta de las instalaciones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equipo interdisciplinario, diferentes áreas deportivas a desarrollar, distintos deportes en los que trabajaremos (básquet, vóley, Handball, futbol). </w:t>
      </w:r>
    </w:p>
    <w:p w14:paraId="1BA7C46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274FA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MÓDULO II</w:t>
      </w:r>
    </w:p>
    <w:p w14:paraId="1527B38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1E1CA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Rol del kinesiólogo en el deporte, cuando interviene el kinesiólogo, cuando interviene el equipo. Dosificación de tratamiento, cuidado </w:t>
      </w:r>
      <w:r>
        <w:rPr>
          <w:rFonts w:ascii="Times New Roman" w:eastAsia="Times New Roman" w:hAnsi="Times New Roman" w:cs="Times New Roman"/>
          <w:sz w:val="24"/>
          <w:szCs w:val="24"/>
        </w:rPr>
        <w:t>del deportista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fuera y dentro de la cancha. </w:t>
      </w:r>
      <w:r>
        <w:rPr>
          <w:rFonts w:ascii="Times New Roman" w:eastAsia="Times New Roman" w:hAnsi="Times New Roman" w:cs="Times New Roman"/>
          <w:sz w:val="24"/>
          <w:szCs w:val="24"/>
        </w:rPr>
        <w:t>Deportistas, clasificación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los deportistas, tipos de deportistas, edades.  Lesiones frecuentes según género.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de fuerza, test de velocidad y saltos</w:t>
      </w:r>
      <w:r>
        <w:rPr>
          <w:color w:val="000000"/>
          <w:sz w:val="24"/>
          <w:szCs w:val="24"/>
        </w:rPr>
        <w:t>.</w:t>
      </w:r>
    </w:p>
    <w:p w14:paraId="313EF742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A073B8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84446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MÓDULO III</w:t>
      </w:r>
    </w:p>
    <w:p w14:paraId="0A40956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Lesiones frecuentes en mujeres, índices de lesiones deportivas, medios externos que influyen en la calidad del deportista, lesiones en mujeres por respuestas hormonales. apoyo al deportista </w:t>
      </w:r>
      <w:r>
        <w:rPr>
          <w:rFonts w:ascii="Times New Roman" w:eastAsia="Times New Roman" w:hAnsi="Times New Roman" w:cs="Times New Roman"/>
          <w:sz w:val="24"/>
          <w:szCs w:val="24"/>
        </w:rPr>
        <w:t>desde el plantel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profesional, psicológico, fisioterápico, suelo pélvico, nutrición hormonal, cuidados pélvicos post parto. Masa muscular. Biomecánica incitación a mejoras de rendimiento, cirugía, rehabilitación, vuelta a la cancha.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Patologías asociadas a la vacunación. </w:t>
      </w:r>
    </w:p>
    <w:p w14:paraId="6AB091E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D9D33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MÓDULO IV</w:t>
      </w:r>
    </w:p>
    <w:p w14:paraId="498984DB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BA9A27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Neurofisiología de la postura. Captores Posturales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Plantigrafía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dinámica. - Aproximación a las diferentes Escuelas de tratamiento postural. Análisis de las principales cadenas musculares involucradas en el tratamiento postural. - Evaluación postural mediante software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específicos. - Técnicas Posturales de reprogramación del movimiento - Técnicas manuales aplicadas a un tratamiento postural. </w:t>
      </w:r>
    </w:p>
    <w:p w14:paraId="00B8A6C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E30D9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V </w:t>
      </w:r>
    </w:p>
    <w:p w14:paraId="0F8E1A67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97A29B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Lesiones en MMSS. Fractura proximal de Hombro. Hombro congelado 1rio y 2rio. Tratamiento </w:t>
      </w:r>
      <w:r>
        <w:rPr>
          <w:rFonts w:ascii="Times New Roman" w:eastAsia="Times New Roman" w:hAnsi="Times New Roman" w:cs="Times New Roman"/>
          <w:sz w:val="24"/>
          <w:szCs w:val="24"/>
        </w:rPr>
        <w:t>kinésico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consideraciones funcionales. Dolor de hombro asociado al manguito rotador.  </w:t>
      </w:r>
    </w:p>
    <w:p w14:paraId="2945EF33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Evaluación, tratamiento y consideraciones clínicas. </w:t>
      </w:r>
    </w:p>
    <w:p w14:paraId="7AF637AA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Disquinesia escapular. Hombro </w:t>
      </w:r>
      <w:r>
        <w:rPr>
          <w:rFonts w:ascii="Times New Roman" w:eastAsia="Times New Roman" w:hAnsi="Times New Roman" w:cs="Times New Roman"/>
          <w:sz w:val="24"/>
          <w:szCs w:val="24"/>
        </w:rPr>
        <w:t>inestable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Tipos. Evaluación. Abordaje terapéutico. </w:t>
      </w:r>
    </w:p>
    <w:p w14:paraId="52C2612E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Práctico evaluativo y terapéutico de las patologías </w:t>
      </w:r>
      <w:r>
        <w:rPr>
          <w:rFonts w:ascii="Times New Roman" w:eastAsia="Times New Roman" w:hAnsi="Times New Roman" w:cs="Times New Roman"/>
          <w:sz w:val="24"/>
          <w:szCs w:val="24"/>
        </w:rPr>
        <w:t>del hombro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Técnicas manuales para el abordaje del cíngulo del hombro.  </w:t>
      </w:r>
    </w:p>
    <w:p w14:paraId="0616F543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CBACC2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VI </w:t>
      </w:r>
    </w:p>
    <w:p w14:paraId="55AF68C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52FC52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Trauma de </w:t>
      </w:r>
      <w:r>
        <w:rPr>
          <w:rFonts w:ascii="Times New Roman" w:eastAsia="Times New Roman" w:hAnsi="Times New Roman" w:cs="Times New Roman"/>
          <w:sz w:val="24"/>
          <w:szCs w:val="24"/>
        </w:rPr>
        <w:t>codo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Evaluación y tratamiento.  Tendinopatía: Conceptos actuales. Tendinopatía del codo. Trauma de muñeca y Síndrome del Túnel Carpiano. </w:t>
      </w:r>
    </w:p>
    <w:p w14:paraId="1BA6BCD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Tipos de tratamientos utilizados comúnmente, tipos de vendajes y materiales utilizados, reacondicionamientos físicos. </w:t>
      </w:r>
    </w:p>
    <w:p w14:paraId="66A66E6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E61C0B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VII </w:t>
      </w:r>
    </w:p>
    <w:p w14:paraId="2BCE956F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78915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Visita instalaciones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River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Áreas de trabajo por donde transita un deportista, áreas de rehabilitación, kinesiología, consultorio médico, enfermería, emergencias, instituto, canchas, observación de deportes en práctica, que hacen los deportistas luego de entrenar.</w:t>
      </w:r>
    </w:p>
    <w:p w14:paraId="6662C89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61A2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VIII </w:t>
      </w:r>
    </w:p>
    <w:p w14:paraId="4316271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E60D1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Lesiones en MMII, lesiones comunes, ligamento cruzado, tobillo, cadera, pubalgia</w:t>
      </w:r>
    </w:p>
    <w:p w14:paraId="6B9141F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Poder identificar el circuito de cadenas musculares. - Poder identificar las alteraciones más frecuentes de las cadenas musculares. - Poder identificar las alteraciones en los gestos deportivos. - Poder reconocer compensaciones musculares que tenderán a aumentar riesgos de lesión.</w:t>
      </w:r>
    </w:p>
    <w:p w14:paraId="3E9C57F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E7008A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IX </w:t>
      </w:r>
    </w:p>
    <w:p w14:paraId="4F0C59E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E15CAB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Prevención de lesiones, actividades físicas, profilaxis deportiva. </w:t>
      </w:r>
    </w:p>
    <w:p w14:paraId="0BACC1A0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Stretching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global activo - Captores posturales: captor ocular,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-oclusal, sistema vestibular - Adaptaciones del pie varo y valgo - Repercusiones de los pies asimétricos - Disfunciones biomecánicas de pie. Prevención de lesiones de la </w:t>
      </w:r>
      <w:r>
        <w:rPr>
          <w:rFonts w:ascii="Times New Roman" w:eastAsia="Times New Roman" w:hAnsi="Times New Roman" w:cs="Times New Roman"/>
          <w:sz w:val="24"/>
          <w:szCs w:val="24"/>
        </w:rPr>
        <w:t>columna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vertebral. - Prevención de lesiones del </w:t>
      </w:r>
      <w:r>
        <w:rPr>
          <w:rFonts w:ascii="Times New Roman" w:eastAsia="Times New Roman" w:hAnsi="Times New Roman" w:cs="Times New Roman"/>
          <w:sz w:val="24"/>
          <w:szCs w:val="24"/>
        </w:rPr>
        <w:t>miembro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superior. - Prevención de lesiones del </w:t>
      </w:r>
      <w:r>
        <w:rPr>
          <w:rFonts w:ascii="Times New Roman" w:eastAsia="Times New Roman" w:hAnsi="Times New Roman" w:cs="Times New Roman"/>
          <w:sz w:val="24"/>
          <w:szCs w:val="24"/>
        </w:rPr>
        <w:t>miembro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inferior.</w:t>
      </w:r>
    </w:p>
    <w:p w14:paraId="7D8CBEC2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7F1C0E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MODULO X </w:t>
      </w:r>
    </w:p>
    <w:p w14:paraId="7663F70F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0A009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Psicología deportiva, que pasa con el deportista durante y post lesión, cuáles son las instancias de mayor apoyo del sujeto, como se siente, como volver a la cancha luego de una lesión, la frustración, el miedo a nuevas lesiones y apoyo del club.</w:t>
      </w:r>
    </w:p>
    <w:p w14:paraId="3EC4C04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11122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F30C8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MÓDULO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XI </w:t>
      </w:r>
    </w:p>
    <w:p w14:paraId="3134A27C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4A4A29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Vendajes. Tipos utilizados comúnmente, y materiales utilizados, reacondicionamientos físicos.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Ortesis. Férulas. Usos. </w:t>
      </w:r>
    </w:p>
    <w:p w14:paraId="7C0BDBEF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01663E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XII </w:t>
      </w:r>
    </w:p>
    <w:p w14:paraId="46BC53A1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E1321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Nutrición deportiva, tipos de alimentación, suplementaciones, dietas alimenticias durante las lesiones, post lesiones y vuelta al deporte. Mediciones. Composición corporal. Hidratación. </w:t>
      </w:r>
    </w:p>
    <w:p w14:paraId="774C4837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B6356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9EAFBC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MÓDULO XIII </w:t>
      </w:r>
    </w:p>
    <w:p w14:paraId="7EC8A2CC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1A74B3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Tratamientos médicos alternativos, plasma, </w:t>
      </w:r>
      <w:r>
        <w:rPr>
          <w:rFonts w:ascii="Times New Roman" w:eastAsia="Times New Roman" w:hAnsi="Times New Roman" w:cs="Times New Roman"/>
          <w:sz w:val="24"/>
          <w:szCs w:val="24"/>
        </w:rPr>
        <w:t>ácido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hialurónico, artroscopias,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Dopaje,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fármacos que dan </w:t>
      </w:r>
      <w:r>
        <w:rPr>
          <w:rFonts w:ascii="Times New Roman" w:eastAsia="Times New Roman" w:hAnsi="Times New Roman" w:cs="Times New Roman"/>
          <w:sz w:val="24"/>
          <w:szCs w:val="24"/>
        </w:rPr>
        <w:t>doping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positivos, sanciones. </w:t>
      </w:r>
    </w:p>
    <w:p w14:paraId="7BFBFC52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BDB64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Introducción al modelo de presentación final, pautas para tener en cuenta, búsqueda de </w:t>
      </w:r>
      <w:r>
        <w:rPr>
          <w:rFonts w:ascii="Times New Roman" w:eastAsia="Times New Roman" w:hAnsi="Times New Roman" w:cs="Times New Roman"/>
          <w:sz w:val="24"/>
          <w:szCs w:val="24"/>
        </w:rPr>
        <w:t>ideas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relación con el deporte, material científico, correcciones o dudas </w:t>
      </w:r>
      <w:r>
        <w:rPr>
          <w:rFonts w:ascii="Times New Roman" w:eastAsia="Times New Roman" w:hAnsi="Times New Roman" w:cs="Times New Roman"/>
          <w:sz w:val="24"/>
          <w:szCs w:val="24"/>
        </w:rPr>
        <w:t>asincrónicas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6EBF4D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DD20C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MÓDULO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XIV:</w:t>
      </w:r>
    </w:p>
    <w:p w14:paraId="796017E8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8221BA" w14:textId="77777777" w:rsidR="00AD1C67" w:rsidRDefault="00AD1C67" w:rsidP="00AD1C6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Mesa redonda, se abrirá una línea de exposición de dudas, casos, cierre de trabajo práctico final. </w:t>
      </w:r>
    </w:p>
    <w:p w14:paraId="603B8BB4" w14:textId="77777777" w:rsidR="004D0935" w:rsidRDefault="004D0935" w:rsidP="0023267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7101EF63" w14:textId="77777777" w:rsidR="002B007F" w:rsidRPr="00694B65" w:rsidRDefault="002B007F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b/>
          <w:bCs/>
          <w:sz w:val="24"/>
          <w:szCs w:val="24"/>
        </w:rPr>
        <w:t>MODALIDAD DE CURSADA</w:t>
      </w:r>
    </w:p>
    <w:p w14:paraId="72499456" w14:textId="6A78F83B" w:rsidR="002B007F" w:rsidRPr="00694B65" w:rsidRDefault="002B007F" w:rsidP="002B007F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sz w:val="24"/>
          <w:szCs w:val="24"/>
        </w:rPr>
        <w:t>Virtual: Sincrónica y asincrónica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. </w:t>
      </w:r>
      <w:r w:rsidR="0053407E">
        <w:rPr>
          <w:rFonts w:ascii="Times New Roman" w:eastAsia="Trebuchet MS" w:hAnsi="Times New Roman" w:cs="Times New Roman"/>
          <w:sz w:val="24"/>
          <w:szCs w:val="24"/>
        </w:rPr>
        <w:t>Sincrónica con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frecuencia </w:t>
      </w:r>
      <w:r w:rsidR="00AD1C67">
        <w:rPr>
          <w:rFonts w:ascii="Times New Roman" w:eastAsia="Trebuchet MS" w:hAnsi="Times New Roman" w:cs="Times New Roman"/>
          <w:sz w:val="24"/>
          <w:szCs w:val="24"/>
        </w:rPr>
        <w:t>semanal</w:t>
      </w:r>
    </w:p>
    <w:p w14:paraId="413000FA" w14:textId="77777777" w:rsidR="002B007F" w:rsidRDefault="002B007F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</w:p>
    <w:p w14:paraId="69A252D4" w14:textId="328D5391" w:rsidR="002B007F" w:rsidRPr="00374AAB" w:rsidRDefault="002B007F" w:rsidP="002B007F">
      <w:pPr>
        <w:jc w:val="both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694B65">
        <w:rPr>
          <w:rFonts w:ascii="Times New Roman" w:eastAsia="Trebuchet MS" w:hAnsi="Times New Roman" w:cs="Times New Roman"/>
          <w:b/>
          <w:bCs/>
          <w:sz w:val="24"/>
          <w:szCs w:val="24"/>
        </w:rPr>
        <w:t>EVALUACIÓN</w:t>
      </w:r>
      <w:r w:rsidR="0053407E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FINAL</w:t>
      </w:r>
    </w:p>
    <w:p w14:paraId="6FAA3FE6" w14:textId="77777777" w:rsidR="00712FBA" w:rsidRPr="008054E1" w:rsidRDefault="00712FBA" w:rsidP="00712F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1282713"/>
      <w:r w:rsidRPr="008054E1">
        <w:rPr>
          <w:rFonts w:ascii="Times New Roman" w:eastAsia="Times New Roman" w:hAnsi="Times New Roman" w:cs="Times New Roman"/>
          <w:sz w:val="24"/>
          <w:szCs w:val="24"/>
        </w:rPr>
        <w:t>Requisitos que se requieren para la obtención de la certificación de la diplomatura:</w:t>
      </w:r>
    </w:p>
    <w:p w14:paraId="71624879" w14:textId="77777777" w:rsidR="00712FBA" w:rsidRDefault="00712FBA" w:rsidP="00712FB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4E1">
        <w:rPr>
          <w:rFonts w:ascii="Times New Roman" w:eastAsia="Times New Roman" w:hAnsi="Times New Roman" w:cs="Times New Roman"/>
          <w:sz w:val="24"/>
          <w:szCs w:val="24"/>
        </w:rPr>
        <w:t>Cumplir con la asistencia al 80% de las clases sincrónicas</w:t>
      </w:r>
    </w:p>
    <w:p w14:paraId="628335C7" w14:textId="77777777" w:rsidR="00712FBA" w:rsidRDefault="00712FBA" w:rsidP="00712FB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Presentación del 100% de los Trabajos prácticos</w:t>
      </w:r>
    </w:p>
    <w:p w14:paraId="5EB2FBD1" w14:textId="77777777" w:rsidR="00712FBA" w:rsidRPr="008054E1" w:rsidRDefault="00712FBA" w:rsidP="00712FB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Participación en los foros</w:t>
      </w:r>
    </w:p>
    <w:p w14:paraId="137369AE" w14:textId="77777777" w:rsidR="00712FBA" w:rsidRPr="008054E1" w:rsidRDefault="00712FBA" w:rsidP="00712FB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4E1">
        <w:rPr>
          <w:rFonts w:ascii="Times New Roman" w:eastAsia="Times New Roman" w:hAnsi="Times New Roman" w:cs="Times New Roman"/>
          <w:sz w:val="24"/>
          <w:szCs w:val="24"/>
        </w:rPr>
        <w:lastRenderedPageBreak/>
        <w:t>Elaboración del Trabajo Final Integrador y defensa en coloquio.</w:t>
      </w:r>
    </w:p>
    <w:p w14:paraId="4DA9E923" w14:textId="77777777" w:rsidR="00712FBA" w:rsidRPr="008054E1" w:rsidRDefault="00712FBA" w:rsidP="00712FBA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4E1">
        <w:rPr>
          <w:rFonts w:ascii="Times New Roman" w:eastAsia="Times New Roman" w:hAnsi="Times New Roman" w:cs="Times New Roman"/>
          <w:sz w:val="24"/>
          <w:szCs w:val="24"/>
        </w:rPr>
        <w:t>Obligación arancelaria al día</w:t>
      </w:r>
    </w:p>
    <w:p w14:paraId="5E389A21" w14:textId="77777777" w:rsidR="00712FBA" w:rsidRDefault="00712FBA" w:rsidP="00712FB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evaluación final será en forma individual. </w:t>
      </w:r>
    </w:p>
    <w:p w14:paraId="1BD00F7E" w14:textId="45461A9A" w:rsidR="00712FBA" w:rsidRPr="00712FBA" w:rsidRDefault="00712FBA" w:rsidP="00712FBA">
      <w:pPr>
        <w:pStyle w:val="Prrafodelista"/>
        <w:numPr>
          <w:ilvl w:val="0"/>
          <w:numId w:val="6"/>
        </w:numPr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712FBA"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un trabajo final integrador con defensa en coloquio</w:t>
      </w:r>
    </w:p>
    <w:bookmarkEnd w:id="0"/>
    <w:p w14:paraId="14E3A566" w14:textId="77777777" w:rsidR="002B007F" w:rsidRDefault="002B007F" w:rsidP="002B00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C4CECC7" w14:textId="77777777" w:rsidR="002B007F" w:rsidRPr="00B811F4" w:rsidRDefault="002B007F" w:rsidP="002B007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811F4">
        <w:rPr>
          <w:rFonts w:ascii="Times New Roman" w:hAnsi="Times New Roman" w:cs="Times New Roman"/>
          <w:b/>
          <w:bCs/>
          <w:sz w:val="24"/>
        </w:rPr>
        <w:t>REQUISITOS   PARA LA INSCRIPCIÓN</w:t>
      </w:r>
    </w:p>
    <w:p w14:paraId="2E248D5F" w14:textId="77777777" w:rsidR="002B007F" w:rsidRPr="001D5EEB" w:rsidRDefault="002B007F" w:rsidP="002B007F">
      <w:pPr>
        <w:numPr>
          <w:ilvl w:val="0"/>
          <w:numId w:val="7"/>
        </w:numPr>
        <w:spacing w:after="200" w:line="276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EEB">
        <w:rPr>
          <w:rFonts w:ascii="Times New Roman" w:eastAsia="Arial" w:hAnsi="Times New Roman" w:cs="Times New Roman"/>
          <w:sz w:val="24"/>
          <w:szCs w:val="24"/>
        </w:rPr>
        <w:t>Fotocopia del D.N.I. (1ra y 2da hoja)</w:t>
      </w:r>
    </w:p>
    <w:p w14:paraId="4B5051C0" w14:textId="77777777" w:rsidR="002B007F" w:rsidRPr="00935C24" w:rsidRDefault="002B007F" w:rsidP="002B007F">
      <w:pPr>
        <w:numPr>
          <w:ilvl w:val="0"/>
          <w:numId w:val="7"/>
        </w:numPr>
        <w:spacing w:after="200" w:line="276" w:lineRule="auto"/>
        <w:ind w:left="10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D5EEB">
        <w:rPr>
          <w:rFonts w:ascii="Times New Roman" w:eastAsia="Arial" w:hAnsi="Times New Roman" w:cs="Times New Roman"/>
          <w:sz w:val="24"/>
          <w:szCs w:val="24"/>
        </w:rPr>
        <w:t>Fotocopia del Título Docente/profesional</w:t>
      </w:r>
    </w:p>
    <w:p w14:paraId="635CFD3A" w14:textId="77777777" w:rsidR="002B007F" w:rsidRPr="00694B65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016B890B" w14:textId="195A9F74" w:rsidR="002B007F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  <w:r w:rsidRPr="00694B65">
        <w:rPr>
          <w:rFonts w:ascii="Times New Roman" w:hAnsi="Times New Roman" w:cs="Times New Roman"/>
          <w:b/>
          <w:bCs/>
          <w:iCs/>
          <w:color w:val="auto"/>
          <w:lang w:val="es-ES"/>
        </w:rPr>
        <w:t xml:space="preserve">CARGA HORARIA: </w:t>
      </w:r>
      <w:r w:rsidR="00712FBA">
        <w:rPr>
          <w:rFonts w:ascii="Times New Roman" w:hAnsi="Times New Roman" w:cs="Times New Roman"/>
          <w:b/>
          <w:bCs/>
          <w:iCs/>
          <w:color w:val="auto"/>
          <w:lang w:val="es-ES"/>
        </w:rPr>
        <w:t>350 horas reloj</w:t>
      </w:r>
    </w:p>
    <w:p w14:paraId="15751ED9" w14:textId="77777777" w:rsidR="002B007F" w:rsidRDefault="002B007F" w:rsidP="002B007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Cs/>
          <w:color w:val="auto"/>
          <w:lang w:val="es-ES"/>
        </w:rPr>
      </w:pPr>
    </w:p>
    <w:p w14:paraId="66EFEBD5" w14:textId="77777777" w:rsidR="002B007F" w:rsidRDefault="002B007F" w:rsidP="002B0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30219B" w14:textId="77777777" w:rsidR="002B007F" w:rsidRPr="00694B65" w:rsidRDefault="002B007F" w:rsidP="002B00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54B2E" w14:textId="77777777" w:rsidR="002B007F" w:rsidRPr="00425E3E" w:rsidRDefault="002B007F" w:rsidP="00232672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b/>
          <w:color w:val="FF0000"/>
          <w:lang w:val="es-AR"/>
        </w:rPr>
      </w:pPr>
    </w:p>
    <w:p w14:paraId="66F32D42" w14:textId="77777777" w:rsidR="004D0935" w:rsidRPr="004D0935" w:rsidRDefault="004D0935" w:rsidP="00232672">
      <w:pPr>
        <w:pStyle w:val="Default"/>
        <w:spacing w:line="276" w:lineRule="auto"/>
        <w:jc w:val="both"/>
        <w:rPr>
          <w:b/>
          <w:bCs/>
          <w:iCs/>
          <w:color w:val="auto"/>
        </w:rPr>
      </w:pPr>
    </w:p>
    <w:p w14:paraId="1BD383FE" w14:textId="77777777" w:rsidR="00640894" w:rsidRPr="00425E3E" w:rsidRDefault="00640894">
      <w:pPr>
        <w:rPr>
          <w:rFonts w:ascii="Times New Roman" w:hAnsi="Times New Roman" w:cs="Times New Roman"/>
          <w:b/>
          <w:bCs/>
        </w:rPr>
      </w:pPr>
    </w:p>
    <w:sectPr w:rsidR="00640894" w:rsidRPr="00425E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30019" w14:textId="77777777" w:rsidR="001E6F58" w:rsidRDefault="001E6F58" w:rsidP="00640894">
      <w:pPr>
        <w:spacing w:after="0" w:line="240" w:lineRule="auto"/>
      </w:pPr>
      <w:r>
        <w:separator/>
      </w:r>
    </w:p>
  </w:endnote>
  <w:endnote w:type="continuationSeparator" w:id="0">
    <w:p w14:paraId="5A0CABFD" w14:textId="77777777" w:rsidR="001E6F58" w:rsidRDefault="001E6F58" w:rsidP="0064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9E84E" w14:textId="77777777" w:rsidR="001E6F58" w:rsidRDefault="001E6F58" w:rsidP="00640894">
      <w:pPr>
        <w:spacing w:after="0" w:line="240" w:lineRule="auto"/>
      </w:pPr>
      <w:r>
        <w:separator/>
      </w:r>
    </w:p>
  </w:footnote>
  <w:footnote w:type="continuationSeparator" w:id="0">
    <w:p w14:paraId="34DFD8FC" w14:textId="77777777" w:rsidR="001E6F58" w:rsidRDefault="001E6F58" w:rsidP="0064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B837" w14:textId="7AFFF1EC" w:rsidR="00640894" w:rsidRDefault="00640894">
    <w:pPr>
      <w:pStyle w:val="Encabezado"/>
    </w:pPr>
    <w:r>
      <w:rPr>
        <w:noProof/>
      </w:rPr>
      <w:drawing>
        <wp:inline distT="0" distB="0" distL="0" distR="0" wp14:anchorId="47F0DEA6" wp14:editId="7E9A6024">
          <wp:extent cx="1133475" cy="700189"/>
          <wp:effectExtent l="0" t="0" r="0" b="508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397" cy="71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4F2"/>
    <w:multiLevelType w:val="multilevel"/>
    <w:tmpl w:val="C2E2119C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C0479E"/>
    <w:multiLevelType w:val="hybridMultilevel"/>
    <w:tmpl w:val="288C005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D28FF"/>
    <w:multiLevelType w:val="multilevel"/>
    <w:tmpl w:val="4C003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9D1122"/>
    <w:multiLevelType w:val="hybridMultilevel"/>
    <w:tmpl w:val="FEE89B2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B2FDD"/>
    <w:multiLevelType w:val="hybridMultilevel"/>
    <w:tmpl w:val="226033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762D"/>
    <w:multiLevelType w:val="hybridMultilevel"/>
    <w:tmpl w:val="72DA783C"/>
    <w:lvl w:ilvl="0" w:tplc="98D819A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94FAB"/>
    <w:multiLevelType w:val="hybridMultilevel"/>
    <w:tmpl w:val="DFF41C7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C1220"/>
    <w:multiLevelType w:val="hybridMultilevel"/>
    <w:tmpl w:val="0464CA38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E447B19"/>
    <w:multiLevelType w:val="hybridMultilevel"/>
    <w:tmpl w:val="94BEE89E"/>
    <w:lvl w:ilvl="0" w:tplc="A0C6723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BC6D53"/>
    <w:multiLevelType w:val="hybridMultilevel"/>
    <w:tmpl w:val="5F3C02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E1470"/>
    <w:multiLevelType w:val="hybridMultilevel"/>
    <w:tmpl w:val="303E1F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11820"/>
    <w:multiLevelType w:val="multilevel"/>
    <w:tmpl w:val="4E44E2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2007174520">
    <w:abstractNumId w:val="6"/>
  </w:num>
  <w:num w:numId="2" w16cid:durableId="218514670">
    <w:abstractNumId w:val="7"/>
  </w:num>
  <w:num w:numId="3" w16cid:durableId="748309038">
    <w:abstractNumId w:val="8"/>
  </w:num>
  <w:num w:numId="4" w16cid:durableId="1600792033">
    <w:abstractNumId w:val="10"/>
  </w:num>
  <w:num w:numId="5" w16cid:durableId="1144859421">
    <w:abstractNumId w:val="5"/>
  </w:num>
  <w:num w:numId="6" w16cid:durableId="39139278">
    <w:abstractNumId w:val="1"/>
  </w:num>
  <w:num w:numId="7" w16cid:durableId="2091386235">
    <w:abstractNumId w:val="11"/>
  </w:num>
  <w:num w:numId="8" w16cid:durableId="1378971719">
    <w:abstractNumId w:val="3"/>
  </w:num>
  <w:num w:numId="9" w16cid:durableId="815072478">
    <w:abstractNumId w:val="9"/>
  </w:num>
  <w:num w:numId="10" w16cid:durableId="977296638">
    <w:abstractNumId w:val="4"/>
  </w:num>
  <w:num w:numId="11" w16cid:durableId="243421501">
    <w:abstractNumId w:val="0"/>
  </w:num>
  <w:num w:numId="12" w16cid:durableId="579219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4"/>
    <w:rsid w:val="000262E1"/>
    <w:rsid w:val="00110C4E"/>
    <w:rsid w:val="00182029"/>
    <w:rsid w:val="001E6F58"/>
    <w:rsid w:val="00232672"/>
    <w:rsid w:val="002A0CA1"/>
    <w:rsid w:val="002B007F"/>
    <w:rsid w:val="002B4055"/>
    <w:rsid w:val="003A56E2"/>
    <w:rsid w:val="003D5691"/>
    <w:rsid w:val="003F39C3"/>
    <w:rsid w:val="0040036E"/>
    <w:rsid w:val="00425E3E"/>
    <w:rsid w:val="004D0935"/>
    <w:rsid w:val="0053407E"/>
    <w:rsid w:val="00546607"/>
    <w:rsid w:val="005528A0"/>
    <w:rsid w:val="00561576"/>
    <w:rsid w:val="00640894"/>
    <w:rsid w:val="006C7DFF"/>
    <w:rsid w:val="007070D7"/>
    <w:rsid w:val="00712FBA"/>
    <w:rsid w:val="00881B03"/>
    <w:rsid w:val="008D73C9"/>
    <w:rsid w:val="008E04B5"/>
    <w:rsid w:val="00956E53"/>
    <w:rsid w:val="009903A0"/>
    <w:rsid w:val="009C7082"/>
    <w:rsid w:val="00A44637"/>
    <w:rsid w:val="00A470FB"/>
    <w:rsid w:val="00A62AD7"/>
    <w:rsid w:val="00AC7F2F"/>
    <w:rsid w:val="00AD1C67"/>
    <w:rsid w:val="00D36C82"/>
    <w:rsid w:val="00D65813"/>
    <w:rsid w:val="00DF7327"/>
    <w:rsid w:val="00E37288"/>
    <w:rsid w:val="00E977F8"/>
    <w:rsid w:val="00F3512D"/>
    <w:rsid w:val="00F44EFB"/>
    <w:rsid w:val="00F46A5A"/>
    <w:rsid w:val="00F60EE2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3AF75"/>
  <w15:chartTrackingRefBased/>
  <w15:docId w15:val="{34733D04-280F-443D-84A2-C30A728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640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8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8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894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894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894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894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894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894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894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640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894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894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640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894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6408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894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640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894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408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894"/>
    <w:rPr>
      <w:lang w:val="es-AR"/>
    </w:rPr>
  </w:style>
  <w:style w:type="paragraph" w:styleId="NormalWeb">
    <w:name w:val="Normal (Web)"/>
    <w:basedOn w:val="Normal"/>
    <w:uiPriority w:val="99"/>
    <w:unhideWhenUsed/>
    <w:rsid w:val="0064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Textoennegrita">
    <w:name w:val="Strong"/>
    <w:uiPriority w:val="22"/>
    <w:qFormat/>
    <w:rsid w:val="004D0935"/>
    <w:rPr>
      <w:b/>
      <w:bCs/>
    </w:rPr>
  </w:style>
  <w:style w:type="paragraph" w:customStyle="1" w:styleId="Default">
    <w:name w:val="Default"/>
    <w:rsid w:val="004D09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es-AR"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Sandra Martinez Filomeno</dc:creator>
  <cp:keywords/>
  <dc:description/>
  <cp:lastModifiedBy>MAria Sandra Martinez Filomeno</cp:lastModifiedBy>
  <cp:revision>5</cp:revision>
  <dcterms:created xsi:type="dcterms:W3CDTF">2025-02-24T12:37:00Z</dcterms:created>
  <dcterms:modified xsi:type="dcterms:W3CDTF">2025-02-25T12:45:00Z</dcterms:modified>
</cp:coreProperties>
</file>